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微软雅黑" w:hAnsi="微软雅黑" w:eastAsia="微软雅黑" w:cs="微软雅黑"/>
          <w:b/>
          <w:i w:val="0"/>
          <w:caps w:val="0"/>
          <w:color w:val="auto"/>
          <w:spacing w:val="0"/>
          <w:sz w:val="28"/>
          <w:szCs w:val="28"/>
          <w:shd w:val="clear" w:fill="FFFFFF"/>
        </w:rPr>
      </w:pPr>
      <w:r>
        <w:rPr>
          <w:rFonts w:hint="eastAsia" w:ascii="微软雅黑" w:hAnsi="微软雅黑" w:eastAsia="微软雅黑" w:cs="微软雅黑"/>
          <w:b/>
          <w:i w:val="0"/>
          <w:caps w:val="0"/>
          <w:color w:val="auto"/>
          <w:spacing w:val="0"/>
          <w:sz w:val="28"/>
          <w:szCs w:val="28"/>
          <w:shd w:val="clear" w:fill="FFFFFF"/>
        </w:rPr>
        <w:t>教育部关于高校教师师德失范行为</w:t>
      </w:r>
      <w:r>
        <w:rPr>
          <w:rFonts w:hint="eastAsia" w:ascii="微软雅黑" w:hAnsi="微软雅黑" w:eastAsia="微软雅黑" w:cs="微软雅黑"/>
          <w:b/>
          <w:i w:val="0"/>
          <w:caps w:val="0"/>
          <w:color w:val="auto"/>
          <w:spacing w:val="0"/>
          <w:sz w:val="28"/>
          <w:szCs w:val="28"/>
          <w:shd w:val="clear" w:fill="FFFFFF"/>
        </w:rPr>
        <w:br w:type="textWrapping"/>
      </w:r>
      <w:r>
        <w:rPr>
          <w:rFonts w:hint="eastAsia" w:ascii="微软雅黑" w:hAnsi="微软雅黑" w:eastAsia="微软雅黑" w:cs="微软雅黑"/>
          <w:b/>
          <w:i w:val="0"/>
          <w:caps w:val="0"/>
          <w:color w:val="auto"/>
          <w:spacing w:val="0"/>
          <w:sz w:val="28"/>
          <w:szCs w:val="28"/>
          <w:shd w:val="clear" w:fill="FFFFFF"/>
        </w:rPr>
        <w:t>处理的指导意见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auto"/>
          <w:sz w:val="28"/>
          <w:szCs w:val="28"/>
        </w:rPr>
      </w:pPr>
      <w:r>
        <w:rPr>
          <w:rFonts w:hint="eastAsia" w:ascii="微软雅黑" w:hAnsi="微软雅黑" w:eastAsia="微软雅黑" w:cs="微软雅黑"/>
          <w:i w:val="0"/>
          <w:caps w:val="0"/>
          <w:color w:val="auto"/>
          <w:spacing w:val="0"/>
          <w:sz w:val="28"/>
          <w:szCs w:val="28"/>
          <w:shd w:val="clear" w:fill="FFFFFF"/>
        </w:rPr>
        <w:t>教师〔2018〕17号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各</w:t>
      </w:r>
      <w:bookmarkStart w:id="0" w:name="_GoBack"/>
      <w:bookmarkEnd w:id="0"/>
      <w:r>
        <w:rPr>
          <w:rFonts w:hint="eastAsia" w:ascii="微软雅黑" w:hAnsi="微软雅黑" w:eastAsia="微软雅黑" w:cs="微软雅黑"/>
          <w:i w:val="0"/>
          <w:caps w:val="0"/>
          <w:color w:val="auto"/>
          <w:spacing w:val="0"/>
          <w:sz w:val="24"/>
          <w:szCs w:val="24"/>
          <w:shd w:val="clear" w:fill="FFFFFF"/>
        </w:rPr>
        <w:t>省</w:t>
      </w:r>
      <w:r>
        <w:rPr>
          <w:rFonts w:hint="eastAsia" w:ascii="微软雅黑" w:hAnsi="微软雅黑" w:eastAsia="微软雅黑" w:cs="微软雅黑"/>
          <w:i w:val="0"/>
          <w:caps w:val="0"/>
          <w:color w:val="auto"/>
          <w:spacing w:val="0"/>
          <w:sz w:val="24"/>
          <w:szCs w:val="24"/>
          <w:shd w:val="clear" w:fill="FFFFFF"/>
        </w:rPr>
        <w:t>、自治区、直辖市教育厅（教委），新疆生产建设兵团教育局，有关部门（单位）教育司（局），部属各高等学校、部省合建各高等学校：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二、高校教师要自觉加强师德修养，严格遵守师德规范，严以律己，为人师表，把教书育人和自我修养结合起来，坚持以德立身、以德立学、以德施教、以德育德。发生师德失范行为，本人要承担相应责任。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四、对师德失范行为的处理，应坚持公平公正、教育与惩处相结合的原则，做到事实清楚、证据确凿、定性准确、处理适当、程序合法、手续完备。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六、高校师德师风建设要坚持权责对等、分级负责、层层落实、失责必问、问责必严的原则。对于相关单位和责任人不履行或不正确履行职责，有下列情形之一的，根据职责权限和责任划分进行问责：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（一）师德师风制度建设、日常教育监督、舆论宣传、预防工作不到位；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（二）师德失范问题排查发现不及时；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（三）对已发现的师德失范行为处置不力、方式不当；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（四）已作出的师德失范行为处理决定落实不到位，师德失范行为整改不彻底；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（五）多次出现师德失范问题或因师德失范行为引起不良社会影响；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（六）其他应当问责的失职失责情形。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七、教师出现师德失范问题，所在院（系）行政主要负责人和党组织主要负责人需向学校分别做出检讨，由学校依据有关规定视情节轻重采取约谈、诫勉谈话、通报批评、纪律处分和组织处理等方式进行问责。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八、教师出现师德失范问题，学校需向上级主管部门做出说明，并引以为戒，进行自查自纠与落实整改。如有学校反复出现师德失范问题，分管校领导应向学校做出检讨，学校应在上级主管部门督导下进行整改。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九、各地各校应当依据本意见制定高校教师师德失范行为负面清单及处理办法，并报上级主管部门备案。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十、民办高校的劳动人事管理执行《中华人民共和国劳动合同法》规定，对教师师德失范行为的处理，遵照本指导意见执行。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2018年11月8日</w:t>
      </w:r>
    </w:p>
    <w:p>
      <w:pPr>
        <w:rPr>
          <w:rFonts w:hint="eastAsia" w:ascii="微软雅黑" w:hAnsi="微软雅黑" w:eastAsia="微软雅黑" w:cs="微软雅黑"/>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76F98"/>
    <w:rsid w:val="2791442D"/>
    <w:rsid w:val="2877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2019-10-22T12:16:00Z</dcterms:created>
  <dc:creator>木子泥</dc:creator>
  <cp:lastModifiedBy>园园</cp:lastModifiedBy>
  <dcterms:modified xsi:type="dcterms:W3CDTF">2020-11-17T03:33:19Z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