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ascii="微软雅黑" w:hAnsi="微软雅黑" w:eastAsia="微软雅黑" w:cs="微软雅黑"/>
          <w:b/>
          <w:i w:val="0"/>
          <w:caps w:val="0"/>
          <w:color w:val="262626"/>
          <w:spacing w:val="0"/>
          <w:sz w:val="38"/>
          <w:szCs w:val="38"/>
        </w:rPr>
      </w:pPr>
      <w:r>
        <w:rPr>
          <w:rFonts w:ascii="微软雅黑" w:hAnsi="微软雅黑" w:eastAsia="微软雅黑" w:cs="微软雅黑"/>
          <w:b/>
          <w:i w:val="0"/>
          <w:caps w:val="0"/>
          <w:color w:val="262626"/>
          <w:spacing w:val="0"/>
          <w:sz w:val="38"/>
          <w:szCs w:val="38"/>
        </w:rPr>
        <w:t>习近平：充分认识颁布实施民法典重大意义</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i w:val="0"/>
          <w:caps w:val="0"/>
          <w:color w:val="262626"/>
          <w:spacing w:val="0"/>
          <w:sz w:val="38"/>
          <w:szCs w:val="38"/>
        </w:rPr>
      </w:pPr>
      <w:r>
        <w:rPr>
          <w:rFonts w:ascii="微软雅黑" w:hAnsi="微软雅黑" w:eastAsia="微软雅黑" w:cs="微软雅黑"/>
          <w:b/>
          <w:i w:val="0"/>
          <w:caps w:val="0"/>
          <w:color w:val="262626"/>
          <w:spacing w:val="0"/>
          <w:sz w:val="38"/>
          <w:szCs w:val="38"/>
        </w:rPr>
        <w:t>依法更好保障</w:t>
      </w:r>
      <w:r>
        <w:rPr>
          <w:rFonts w:hint="eastAsia" w:ascii="微软雅黑" w:hAnsi="微软雅黑" w:eastAsia="微软雅黑" w:cs="微软雅黑"/>
          <w:b/>
          <w:i w:val="0"/>
          <w:caps w:val="0"/>
          <w:color w:val="262626"/>
          <w:spacing w:val="0"/>
          <w:sz w:val="38"/>
          <w:szCs w:val="38"/>
        </w:rPr>
        <w:t>人民合法权益</w:t>
      </w:r>
    </w:p>
    <w:p>
      <w:pPr>
        <w:keepNext w:val="0"/>
        <w:keepLines w:val="0"/>
        <w:pageBreakBefore w:val="0"/>
        <w:kinsoku/>
        <w:wordWrap/>
        <w:overflowPunct/>
        <w:topLinePunct w:val="0"/>
        <w:autoSpaceDE/>
        <w:autoSpaceDN/>
        <w:bidi w:val="0"/>
        <w:adjustRightInd/>
        <w:snapToGrid/>
        <w:spacing w:line="520" w:lineRule="exact"/>
        <w:jc w:val="center"/>
        <w:textAlignment w:val="auto"/>
        <w:rPr>
          <w:rStyle w:val="7"/>
          <w:rFonts w:hint="eastAsia" w:ascii="仿宋_GB2312" w:hAnsi="Helvetica" w:eastAsia="仿宋_GB2312" w:cs="Helvetica"/>
          <w:color w:val="000000"/>
          <w:sz w:val="32"/>
          <w:szCs w:val="32"/>
        </w:rPr>
      </w:pPr>
      <w:r>
        <w:rPr>
          <w:rStyle w:val="7"/>
          <w:rFonts w:hint="eastAsia" w:ascii="仿宋_GB2312" w:hAnsi="Helvetica" w:eastAsia="仿宋_GB2312" w:cs="Helvetica"/>
          <w:color w:val="000000"/>
          <w:sz w:val="32"/>
          <w:szCs w:val="32"/>
        </w:rPr>
        <w:t>2020-06-15来源：《求是》2020年第12期</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i w:val="0"/>
          <w:caps w:val="0"/>
          <w:color w:val="262626"/>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5月28日，十三届全国人大三次会议审议通过了《中华人民共和国民法典》，这是新中国成立以来第一部以“法典”命名的法律，是新时代我国社会主义法治建设的重大成果。安排这次集体学习，目的是充分认识颁布实施民法典的重大意义，推动民法典实施，以更好推进全面依法治国、建设社会主义法治国家，更好保障人民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2001年4次启动制定和编纂民法典相关工作，但由于条件所限没有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92" w:beforeAutospacing="0" w:after="0" w:afterAutospacing="0" w:line="520" w:lineRule="exact"/>
        <w:ind w:left="0" w:right="0" w:firstLine="630"/>
        <w:jc w:val="left"/>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2020年5月28日，第十三届全国人民代表大会第三次会议在北京人民大会堂闭幕。党和国家领导人习近平、李克强、汪洋、王沪宁、赵乐际、韩正、王岐山等在主席台就座，栗战书主持闭幕会并发表讲话。 新华社记者 鞠鹏/摄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党的十八大以来，我们顺应实践发展要求和人民群众期待，把编纂民法典摆上重要日程。党的十八届四中全会作出关于全面推进依法治国若干重大问题的决定，其中对编纂民法典作出部署。之后，我主持3次中央政治局常委会会议，分别审议民法总则、民法典各分编、民法典3个草案。在各方面共同努力下，经过5年多工作，民法典终于颁布实施，实现了几代人的夙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一，加强民法典重大意义的宣传教育。要讲清楚，实施好民法典是坚持以人民为中心、保障人民权益实现和发展的必然要求。民法典调整规范自然人、法人等民事主体之间的人身关系和财产关系，这是社会生活和经济生活中最普通、最常见的社会关系和经济关系，涉及经济社会生活方方面面，同人民群众生产生活密不可分，同各行各业发展息息相关。民法典实施得好，人民群众权益就会得到法律保障，人与人之间的交往活动就会更加有序，社会就会更加和谐。要讲清楚，实施好民法典是发展社会主义市场经济、巩固社会主义基本经济制度的必然要求。民法典把我国多年来实行社会主义市场经济体制和加强社会主义法治建设取得的一系列重要制度成果用法典的形式确定下来，规范经济生活和经济活动赖以依托的财产关系、交易关系，对坚持和完善社会主义基本经济制度、促进社会主义市场经济繁荣发展具有十分重要的意义。要讲清楚，实施好民法典是提高我们党治国理政水平的必然要求。民法典是全面依法治国的重要制度载体，很多规定同有关国家机关直接相关，直接涉及公民和法人的权利义务关系。国家机关履行职责、行使职权必须清楚自身行为和活动的范围和界限。各级党和国家机关开展工作要考虑民法典规定，不能侵犯人民群众享有的合法民事权利，包括人身权利和财产权利。同时，有关政府机关、监察机关、司法机关要依法履行职能、行使职权，保护民事权利不受侵犯、促进民事关系和谐有序。民法典实施水平和效果，是衡量各级党和国家机关履行为人民服务宗旨的重要尺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二，加强民事立法相关工作。民法典颁布实施，并不意味着一劳永逸解决了民事法治建设的所有问题，仍然有许多问题需要在实践中检验、探索，还需要不断配套、补充、细化。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left="0" w:right="0" w:firstLine="42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法与时转则治。”随着经济社会不断发展、经济社会生活中各种利益关系不断变化，民法典在实施过程中必然会遇到一些新情况新问题。这次新冠肺炎疫情防控的实践表明，新技术、新产业、新业态和人们新的工作方式、交往方式、生活方式不断涌现，也给民事立法提出了新课题。要坚持问题导向，适应技术发展进步新需要，在新的实践基础上推动民法典不断完善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三，加强民法典执法司法活动。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民事案件同人民群众权益联系最直接最密切。各级司法机关要秉持公正司法，提高民事案件审判水平和效率。要加强民事司法工作，提高办案质量和司法公信力。要及时完善相关民事司法解释，使之同民法典及有关法律规定和精神保持一致，统一民事法律适用标准。要加强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民法典专业性较强，实施中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四，加强民法典普法工作。民法典共7编1260条、10万多字，是我国法律体系中条文最多、体量最大、编章结构最复杂的一部法律。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民法典专业术语很多，要加强解读。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五，加强我国民事法律制度理论研究。改革开放以来，我国民法理论研究和话语体系建设取得了明显成效，但同日新月异的民法实践相比还不完全适应。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288" w:afterAutospacing="0" w:line="520" w:lineRule="exact"/>
        <w:ind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5296C"/>
    <w:rsid w:val="3E6F0B1F"/>
    <w:rsid w:val="454F4FEA"/>
    <w:rsid w:val="677750B6"/>
    <w:rsid w:val="6BE5296C"/>
    <w:rsid w:val="7F37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Emphasis"/>
    <w:qFormat/>
    <w:uiPriority w:val="20"/>
    <w:rPr>
      <w:i/>
      <w:iCs/>
    </w:rPr>
  </w:style>
  <w:style w:type="character" w:customStyle="1" w:styleId="7">
    <w:name w:val="h-time"/>
    <w:uiPriority w:val="0"/>
  </w:style>
  <w:style w:type="character" w:customStyle="1" w:styleId="8">
    <w:name w:val="sourc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2020-06-23T07:37:00Z</dcterms:created>
  <dc:creator>园园</dc:creator>
  <cp:lastModifiedBy>园园</cp:lastModifiedBy>
  <dcterms:modified xsi:type="dcterms:W3CDTF">2020-06-23T07:44:23Z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